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CF" w:rsidRPr="00D55BCF" w:rsidRDefault="00D55BCF" w:rsidP="00D55BCF">
      <w:pPr>
        <w:pBdr>
          <w:bottom w:val="single" w:sz="12" w:space="5" w:color="01519A"/>
        </w:pBdr>
        <w:shd w:val="clear" w:color="auto" w:fill="DEE3E7"/>
        <w:spacing w:after="90" w:line="30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01519A"/>
          <w:sz w:val="27"/>
          <w:szCs w:val="27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1519A"/>
          <w:sz w:val="27"/>
          <w:szCs w:val="27"/>
          <w:lang w:eastAsia="ru-RU"/>
        </w:rPr>
        <w:t>Публичное заявление по итогам 18-го Пленарного заседания ЕАГ</w:t>
      </w:r>
    </w:p>
    <w:p w:rsidR="00D55BCF" w:rsidRPr="00D55BCF" w:rsidRDefault="00D55BCF" w:rsidP="00D55BCF">
      <w:pPr>
        <w:shd w:val="clear" w:color="auto" w:fill="DEE3E7"/>
        <w:spacing w:after="75" w:line="225" w:lineRule="atLeast"/>
        <w:jc w:val="right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FFFFFF"/>
          <w:sz w:val="18"/>
          <w:szCs w:val="18"/>
          <w:bdr w:val="none" w:sz="0" w:space="0" w:color="auto" w:frame="1"/>
          <w:shd w:val="clear" w:color="auto" w:fill="83B8E0"/>
          <w:lang w:eastAsia="ru-RU"/>
        </w:rPr>
        <w:t>27.05.2013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noProof/>
          <w:color w:val="000002"/>
          <w:sz w:val="18"/>
          <w:szCs w:val="18"/>
          <w:lang w:eastAsia="ru-RU"/>
        </w:rPr>
        <w:drawing>
          <wp:inline distT="0" distB="0" distL="0" distR="0">
            <wp:extent cx="1905000" cy="790575"/>
            <wp:effectExtent l="0" t="0" r="0" b="9525"/>
            <wp:docPr id="1" name="Рисунок 1" descr="Публичное заявление по итогам 18-го Пленарного заседания Е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бличное заявление по итогам 18-го Пленарного заседания Е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CF" w:rsidRPr="00D55BCF" w:rsidRDefault="00D55BCF" w:rsidP="00D55BCF">
      <w:pPr>
        <w:shd w:val="clear" w:color="auto" w:fill="DEE3E7"/>
        <w:spacing w:after="180" w:line="225" w:lineRule="atLeast"/>
        <w:jc w:val="both"/>
        <w:textAlignment w:val="baseline"/>
        <w:outlineLvl w:val="4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21 по 24 мая 2013 г. в г. Минске (Республика Беларусь) прошло 18-е Пленарное заседание и заседания Рабочих групп ЕАГ. В мероприятии приняли участие представители всех государств-членов ЕАГ и наблюдатели более, чем из десяти стран и международных организаций.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В мероприятии приняли участие представители всех государств-членов ЕАГ и наблюдатели более, чем из десяти стран и международных организаций.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 xml:space="preserve">Следует особо отметить, что для участия в работе Пленарного заседания прибыл Президент ФАТФ господин Б. </w:t>
      </w:r>
      <w:proofErr w:type="spellStart"/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Аамо</w:t>
      </w:r>
      <w:proofErr w:type="spellEnd"/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 xml:space="preserve"> (Норвегия).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 xml:space="preserve">Участниками Пленарного заседания заслушана информация о смене председательства в ЕАГ в текущем году, о завершении процедур мониторинга по итогам 1-го раунда и по подготовке ко 2-му раунду взаимных оценок ЕАГ, о текущих инициативах и Методологии взаимных оценок ФАТФ, утвержденной Пленарным заседанием ФАТФ в феврале </w:t>
      </w:r>
      <w:proofErr w:type="spellStart"/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с.г</w:t>
      </w:r>
      <w:proofErr w:type="spellEnd"/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Делегатами прорабатывались вопросы совершенствования нормативной правовой базы региональной системы ПОД/ФТ – меморандумы о взаимодействии с РАТС ШОС и АТЦ СНГ, утвержден проект Бюджета ЕАГ на 2014 год, обсуждены вопросы подготовки кадров в сфере ПОД/ФТ для государств-членов ЕАГ, а также проблематика научно-исследовательского сопровождения национальных систем ПОД/ФТ.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Пленарным заседанием одобрен и утвержден типологический отчет Республики Индии «Отмывание денег через рынок ценных бумаг».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Пленарное заседание утвердило отчеты РГОП, РГТС, РГТИП, РГПН и РГПФ.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Пленарное заседание выразило благодарность МУМЦФМ за значительный вклад в совершенствование региональной системы ПОД/ФТ.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00002"/>
          <w:sz w:val="18"/>
          <w:szCs w:val="18"/>
          <w:bdr w:val="none" w:sz="0" w:space="0" w:color="auto" w:frame="1"/>
          <w:lang w:eastAsia="ru-RU"/>
        </w:rPr>
        <w:t>Прогресс государств-членов ЕАГ в развитии национальных систем ПОД/ФТ: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00002"/>
          <w:sz w:val="18"/>
          <w:szCs w:val="18"/>
          <w:bdr w:val="none" w:sz="0" w:space="0" w:color="auto" w:frame="1"/>
          <w:lang w:eastAsia="ru-RU"/>
        </w:rPr>
        <w:t>Республика Таджикистан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Пленарное заседание отмечает прогресс Таджикистана по Р.1, Р.3, Р.4, Р.5, Р.13, СР.II и СР.III.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Таджикистану необходимо продемонстрировать практические результаты имплементации мер в отношении Р.1, CP.I, СР.II и CP.III, а также использования санкций в форме конфискации имущества или применения иных обязательных мер.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Пленарное заседание просит Таджикистан представить очередной отчет о прогрессе к 19-му Пленарному заседанию ЕАГ в ноябре 2013 г. в рамках процедуры усиленного мониторинга.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00002"/>
          <w:sz w:val="18"/>
          <w:szCs w:val="18"/>
          <w:bdr w:val="none" w:sz="0" w:space="0" w:color="auto" w:frame="1"/>
          <w:lang w:eastAsia="ru-RU"/>
        </w:rPr>
        <w:t>Кыргызская Республика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 xml:space="preserve">Пленарное заседание отмечает прогресс Кыргызской Республики по Р.1, Р.3, Р.5, Р.23, </w:t>
      </w:r>
      <w:proofErr w:type="gramStart"/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CP.II ,</w:t>
      </w:r>
      <w:proofErr w:type="gramEnd"/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 xml:space="preserve"> CP.V. и считает, что Кыргызстаном предприняты усилия по устранению недостатков, выявленных в ходе взаимной оценки. 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Кыргызстану необходимо продолжить работу по совершенствованию национальной системы ПОД/ФТ и устранению остающихся недостатков.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Пленарное заседание просит Кыргызстан представить очередной отчет о прогрессе к 19-му Пленарному заседанию ЕАГ в ноябре 2013 г. в рамках процедуры усиленного мониторинга.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00002"/>
          <w:sz w:val="18"/>
          <w:szCs w:val="18"/>
          <w:bdr w:val="none" w:sz="0" w:space="0" w:color="auto" w:frame="1"/>
          <w:lang w:eastAsia="ru-RU"/>
        </w:rPr>
        <w:t>Республика Казахстан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Пленарное заседание отмечает, что за отчетный период Казахстаном предприняты шаги по устранению существующих недостатков в системе ПОД/ФТ.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 xml:space="preserve">Пленарное заседание рекомендует Казахстану продолжить работу по совершенствованию национальной системы ПОД/ФТ и устранению существующих недостатков по следующим ключевым и базовым рекомендациям </w:t>
      </w: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lastRenderedPageBreak/>
        <w:t>с рейтингами несоответствие (НС) и частичное соответствие (ЧС): Р.1, Р.5, Р.13, Р.23, Р.35, СР.I, CP.II, СР.III и CP.IV.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Пленарное заседание просит Республику Казахстан представить промежуточную информацию к 19-му Пленарному заседанию ЕАГ в ноябре 2013 г. и внеочередной отчет о прогрессе – к 20-му Пленарному заседанию в мае 2014 г.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 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00002"/>
          <w:sz w:val="18"/>
          <w:szCs w:val="18"/>
          <w:bdr w:val="none" w:sz="0" w:space="0" w:color="auto" w:frame="1"/>
          <w:lang w:eastAsia="ru-RU"/>
        </w:rPr>
        <w:t>Минск, Республика Беларусь</w:t>
      </w:r>
    </w:p>
    <w:p w:rsidR="00D55BCF" w:rsidRPr="00D55BCF" w:rsidRDefault="00D55BCF" w:rsidP="00D55BCF">
      <w:pPr>
        <w:shd w:val="clear" w:color="auto" w:fill="DEE3E7"/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b/>
          <w:bCs/>
          <w:color w:val="000002"/>
          <w:sz w:val="18"/>
          <w:szCs w:val="18"/>
          <w:bdr w:val="none" w:sz="0" w:space="0" w:color="auto" w:frame="1"/>
          <w:lang w:eastAsia="ru-RU"/>
        </w:rPr>
        <w:t>24 мая 2013 г.</w:t>
      </w:r>
    </w:p>
    <w:p w:rsidR="00D55BCF" w:rsidRPr="00D55BCF" w:rsidRDefault="00D55BCF" w:rsidP="00D55BCF">
      <w:pPr>
        <w:shd w:val="clear" w:color="auto" w:fill="DEE3E7"/>
        <w:spacing w:after="225" w:line="225" w:lineRule="atLeast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D55BCF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</w:t>
      </w:r>
    </w:p>
    <w:p w:rsidR="00E1138C" w:rsidRDefault="00E1138C">
      <w:bookmarkStart w:id="0" w:name="_GoBack"/>
      <w:bookmarkEnd w:id="0"/>
    </w:p>
    <w:sectPr w:rsidR="00E1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D"/>
    <w:rsid w:val="002E0923"/>
    <w:rsid w:val="00C9133D"/>
    <w:rsid w:val="00D55BCF"/>
    <w:rsid w:val="00E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730D-DFB7-4697-8D0F-F9DD28A1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5B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5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Takhmina Zakirova</dc:creator>
  <cp:keywords/>
  <dc:description/>
  <cp:lastModifiedBy>Takhmina Zakirova</cp:lastModifiedBy>
  <cp:revision>2</cp:revision>
  <dcterms:created xsi:type="dcterms:W3CDTF">2014-01-16T07:06:00Z</dcterms:created>
  <dcterms:modified xsi:type="dcterms:W3CDTF">2014-01-16T07:07:00Z</dcterms:modified>
</cp:coreProperties>
</file>